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51" w:rsidRPr="00CA6086" w:rsidRDefault="00242451" w:rsidP="00242451">
      <w:pPr>
        <w:pStyle w:val="Nadpis3"/>
      </w:pPr>
      <w:r>
        <w:t>Poseidon2 4002: Data center environment monitoring</w:t>
      </w:r>
    </w:p>
    <w:p w:rsidR="000B6B79" w:rsidRDefault="000B6B79" w:rsidP="000D4E4A">
      <w:pPr>
        <w:rPr>
          <w:b/>
        </w:rPr>
      </w:pPr>
      <w:r>
        <w:rPr>
          <w:b/>
        </w:rPr>
        <w:t>Poseidon2 4002 is a system for remote monitoring of rack environmental conditions (occupies 1U). It monitors temperature, power supply, door contacts, and more. Poseidon is SNMP compatible, includes a data logger, e-mail and SMS alerts. It can be connected to the SensDesk online portal or cloud sensor systems.</w:t>
      </w:r>
    </w:p>
    <w:p w:rsidR="00242451" w:rsidRPr="00CA6086" w:rsidRDefault="00242451" w:rsidP="00242451">
      <w:pPr>
        <w:rPr>
          <w:lang w:val="cs-CZ"/>
        </w:rPr>
      </w:pPr>
    </w:p>
    <w:p w:rsidR="00EE6BEA" w:rsidRPr="006D5931" w:rsidRDefault="00E13A3C" w:rsidP="004277A5">
      <w:pPr>
        <w:rPr>
          <w:rFonts w:eastAsiaTheme="majorEastAsia"/>
        </w:rPr>
      </w:pPr>
      <w:r w:rsidRPr="006D5931"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04B347A1" wp14:editId="6CCFAA93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3115310" cy="1515110"/>
            <wp:effectExtent l="0" t="0" r="8890" b="8890"/>
            <wp:wrapTight wrapText="bothSides">
              <wp:wrapPolygon edited="0">
                <wp:start x="0" y="0"/>
                <wp:lineTo x="0" y="21455"/>
                <wp:lineTo x="21530" y="21455"/>
                <wp:lineTo x="215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629" cy="151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5931">
        <w:rPr>
          <w:rFonts w:eastAsiaTheme="majorEastAsia"/>
        </w:rPr>
        <w:t xml:space="preserve">Poseidon2 4002 is a remote datacenter environmental monitoring solution. </w:t>
      </w:r>
    </w:p>
    <w:p w:rsidR="00EE6BEA" w:rsidRPr="006D5931" w:rsidRDefault="004277A5" w:rsidP="004277A5">
      <w:pPr>
        <w:rPr>
          <w:rFonts w:eastAsiaTheme="majorEastAsia"/>
        </w:rPr>
      </w:pPr>
      <w:r w:rsidRPr="006D5931">
        <w:rPr>
          <w:rFonts w:eastAsiaTheme="majorEastAsia"/>
        </w:rPr>
        <w:t xml:space="preserve">It alerts to opened door, high temperature and humidity, or other sensor readings. Typical applications include remote rack or server room alarm monitoring. </w:t>
      </w:r>
    </w:p>
    <w:p w:rsidR="00EE6BEA" w:rsidRPr="006D5931" w:rsidRDefault="00EE6BEA" w:rsidP="004277A5">
      <w:pPr>
        <w:rPr>
          <w:rFonts w:eastAsiaTheme="majorEastAsia"/>
          <w:lang w:val="cs-CZ"/>
        </w:rPr>
      </w:pPr>
    </w:p>
    <w:p w:rsidR="004277A5" w:rsidRPr="006D5931" w:rsidRDefault="004277A5" w:rsidP="004277A5">
      <w:r w:rsidRPr="006D5931">
        <w:rPr>
          <w:rFonts w:eastAsiaTheme="majorEastAsia"/>
        </w:rPr>
        <w:t>Monitor your computer room temperature via SNMP (Nagios, Cacti, OpenView, ..) or with a smartphone app.</w:t>
      </w:r>
    </w:p>
    <w:p w:rsidR="004277A5" w:rsidRPr="006D5931" w:rsidRDefault="004277A5" w:rsidP="004277A5">
      <w:pPr>
        <w:rPr>
          <w:lang w:val="cs-CZ"/>
        </w:rPr>
      </w:pPr>
    </w:p>
    <w:p w:rsidR="00EE6BEA" w:rsidRPr="006D5931" w:rsidRDefault="004277A5" w:rsidP="004277A5">
      <w:pPr>
        <w:rPr>
          <w:rFonts w:eastAsiaTheme="majorEastAsia"/>
        </w:rPr>
      </w:pPr>
      <w:r w:rsidRPr="006D5931">
        <w:rPr>
          <w:rFonts w:eastAsiaTheme="majorEastAsia"/>
        </w:rPr>
        <w:t xml:space="preserve">Poseidon2 4002 is a 1U 19” rack mount device for one network cabinet environmental monitoring or entire server room monitoring. Up to 16 external sensors and 12 detectors (digital inputs) can be connected. </w:t>
      </w:r>
    </w:p>
    <w:p w:rsidR="00EE6BEA" w:rsidRPr="006D5931" w:rsidRDefault="00EE6BEA" w:rsidP="00EE6BEA">
      <w:r w:rsidRPr="006D5931">
        <w:t xml:space="preserve">Four relay outputs can be controlled over the Web, or according to the value of a connected sensor, for example to control air conditioning or ventilation. </w:t>
      </w:r>
    </w:p>
    <w:p w:rsidR="00EE6BEA" w:rsidRPr="006D5931" w:rsidRDefault="00EE6BEA" w:rsidP="004277A5">
      <w:pPr>
        <w:rPr>
          <w:rFonts w:eastAsiaTheme="majorEastAsia"/>
          <w:lang w:val="cs-CZ"/>
        </w:rPr>
      </w:pPr>
    </w:p>
    <w:p w:rsidR="004277A5" w:rsidRPr="00A96CD4" w:rsidRDefault="004277A5" w:rsidP="004277A5">
      <w:pPr>
        <w:rPr>
          <w:rFonts w:eastAsiaTheme="majorEastAsia"/>
        </w:rPr>
      </w:pPr>
      <w:r w:rsidRPr="006D5931">
        <w:rPr>
          <w:rFonts w:eastAsiaTheme="majorEastAsia"/>
        </w:rPr>
        <w:t>Poseidon can be used as a standalone environment monitoring device with email alerts or as a part of a complex monitoring system (SNMP or SensDesk online portal).</w:t>
      </w:r>
      <w:r>
        <w:t xml:space="preserve"> </w:t>
      </w:r>
    </w:p>
    <w:p w:rsidR="004277A5" w:rsidRDefault="004277A5" w:rsidP="00242451">
      <w:pPr>
        <w:rPr>
          <w:lang w:val="cs-CZ"/>
        </w:rPr>
      </w:pPr>
    </w:p>
    <w:p w:rsidR="0049059B" w:rsidRDefault="0049059B" w:rsidP="0049059B">
      <w:r>
        <w:t xml:space="preserve">The device can be accessed over the web, using a mobile phone app (Android/iPhone), or through an online portal. Alerts can be sent by e-mail or SMS (text message), for example whenever the cabinet door opens. Poseidon2 4002 can be connected to an external GSM modem. </w:t>
      </w:r>
    </w:p>
    <w:p w:rsidR="0049059B" w:rsidRDefault="0049059B" w:rsidP="0049059B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EE6BEA" w:rsidRDefault="0049059B" w:rsidP="0049059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For data collection and monitoring, we recommend our HWg-PDMS application that displays graphs and exports data to MS Excel. </w:t>
      </w:r>
    </w:p>
    <w:p w:rsidR="0049059B" w:rsidRDefault="0049059B" w:rsidP="0049059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For “IF-THEN” event management (e.g. “If one out of 10 devices fails, send a SMS to the admin”), we provide the HWg-Trigger application for Windows. </w:t>
      </w:r>
    </w:p>
    <w:p w:rsidR="00EE6BEA" w:rsidRDefault="00EE6BEA" w:rsidP="0049059B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49059B" w:rsidRDefault="0049059B" w:rsidP="0049059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>For remote monitoring of several sites, the SensDesk.com online service can be used. It can display readings from sensors at multiple Poseidon2 units and other HW group products on a single screen. The online portal is configured over the web and all devices can monitored with a mobile phone app.</w:t>
      </w:r>
    </w:p>
    <w:p w:rsidR="0049059B" w:rsidRDefault="0049059B" w:rsidP="0049059B">
      <w:pPr>
        <w:rPr>
          <w:lang w:val="cs-CZ"/>
        </w:rPr>
      </w:pPr>
    </w:p>
    <w:p w:rsidR="0049059B" w:rsidRDefault="0049059B" w:rsidP="0049059B">
      <w:r>
        <w:t xml:space="preserve">Poseidon2 can be connected to various monitoring systems. We support over 50 different third-party SNMP or SCADA applications. </w:t>
      </w:r>
    </w:p>
    <w:p w:rsidR="00636CE5" w:rsidRDefault="00636CE5" w:rsidP="00242451">
      <w:pPr>
        <w:rPr>
          <w:lang w:val="cs-CZ"/>
        </w:rPr>
      </w:pP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  <w:u w:val="single"/>
        </w:rPr>
        <w:t>Online demo</w:t>
      </w:r>
      <w:r>
        <w:t xml:space="preserve">: </w:t>
      </w:r>
      <w:hyperlink w:history="1">
        <w:r>
          <w:rPr>
            <w:rStyle w:val="Hypertextovodkaz"/>
          </w:rPr>
          <w:t xml:space="preserve">http://poseidon2.hwg.cz </w:t>
        </w:r>
      </w:hyperlink>
      <w:r>
        <w:t xml:space="preserve">   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lastRenderedPageBreak/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</w:pPr>
      <w:r>
        <w:rPr>
          <w:b/>
        </w:rPr>
        <w:t>WEB:</w:t>
      </w:r>
      <w:r>
        <w:t xml:space="preserve"> Built-in web server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rPr>
          <w:b/>
        </w:rPr>
      </w:pPr>
      <w:r>
        <w:rPr>
          <w:b/>
          <w:szCs w:val="20"/>
        </w:rPr>
        <w:t>Sensors</w:t>
      </w:r>
      <w:r>
        <w:rPr>
          <w:szCs w:val="20"/>
        </w:rPr>
        <w:t>: 6xRJ11 – max. 16 external sensors (1-Wire / 1-Wire UNI)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rPr>
          <w:b/>
        </w:rPr>
      </w:pPr>
      <w:r>
        <w:rPr>
          <w:b/>
        </w:rPr>
        <w:t xml:space="preserve">Can measure: </w:t>
      </w:r>
      <w:r>
        <w:t>Indoor and outdoor temperature,</w:t>
      </w:r>
      <w:r>
        <w:rPr>
          <w:b/>
        </w:rPr>
        <w:t xml:space="preserve"> </w:t>
      </w:r>
      <w:r>
        <w:t xml:space="preserve">humidity, light in the room, voltage, current (0-30A or 4-20mA), external temperature probes (Pt-100, Pt-1000), and more... </w:t>
      </w:r>
    </w:p>
    <w:p w:rsidR="00636CE5" w:rsidRDefault="00636CE5" w:rsidP="00636CE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  <w:szCs w:val="20"/>
        </w:rPr>
        <w:t>Digital outputs:</w:t>
      </w:r>
      <w:r>
        <w:rPr>
          <w:szCs w:val="20"/>
        </w:rPr>
        <w:t xml:space="preserve"> 4x DO (relay output) </w:t>
      </w:r>
      <w:r>
        <w:br/>
      </w:r>
      <w:r>
        <w:rPr>
          <w:szCs w:val="20"/>
        </w:rPr>
        <w:t>(remote restart, fan control, server power control, network I/O)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spacing w:before="0" w:line="200" w:lineRule="atLeast"/>
        <w:rPr>
          <w:rFonts w:cs="Arial"/>
          <w:szCs w:val="20"/>
        </w:rPr>
      </w:pPr>
      <w:r>
        <w:rPr>
          <w:b/>
          <w:szCs w:val="20"/>
        </w:rPr>
        <w:t>Digital inputs:</w:t>
      </w:r>
      <w:r>
        <w:rPr>
          <w:szCs w:val="20"/>
        </w:rPr>
        <w:t xml:space="preserve"> 12x </w:t>
      </w:r>
      <w:r>
        <w:t>DI for dry contacts (status detectors)</w:t>
      </w:r>
      <w:r>
        <w:br/>
      </w:r>
      <w:r>
        <w:rPr>
          <w:szCs w:val="20"/>
        </w:rPr>
        <w:t>(smoke detector, door contact, water flood detector, fan failure detector)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</w:pPr>
      <w:r>
        <w:rPr>
          <w:b/>
        </w:rPr>
        <w:t xml:space="preserve">RS-485 support: </w:t>
      </w:r>
      <w:r>
        <w:t xml:space="preserve">Yes, supports supplied external sensors 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</w:pPr>
      <w:r>
        <w:rPr>
          <w:b/>
        </w:rPr>
        <w:t xml:space="preserve">Data logger: </w:t>
      </w:r>
      <w:r>
        <w:t>over 250,000 records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</w:rPr>
        <w:t>Power</w:t>
      </w:r>
      <w:r>
        <w:t>: 9-30V DC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</w:rPr>
        <w:t>Operating temperature</w:t>
      </w:r>
      <w:r>
        <w:t>: –30°C to +85°C (–22°F to +185°F)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</w:rPr>
        <w:t>Mechanical</w:t>
      </w:r>
      <w:r>
        <w:t xml:space="preserve">: metal case, occupies 1U in a 19“ rack </w:t>
      </w:r>
      <w:r>
        <w:br/>
        <w:t xml:space="preserve">Dimensions: 100 x 213 x 35 [mm] </w:t>
      </w:r>
    </w:p>
    <w:p w:rsidR="00F439E6" w:rsidRPr="00F439E6" w:rsidRDefault="00F439E6" w:rsidP="00F439E6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 w:rsidRPr="006A7B8B">
        <w:rPr>
          <w:b/>
        </w:rPr>
        <w:t>Warranty</w:t>
      </w:r>
      <w:r w:rsidRPr="006A7B8B">
        <w:t>: 5 years</w:t>
      </w:r>
      <w:bookmarkStart w:id="0" w:name="_GoBack"/>
      <w:bookmarkEnd w:id="0"/>
    </w:p>
    <w:p w:rsidR="00636CE5" w:rsidRDefault="00636CE5" w:rsidP="00636CE5">
      <w:pPr>
        <w:pStyle w:val="Zkladntext"/>
        <w:rPr>
          <w:lang w:val="cs-CZ"/>
        </w:rPr>
      </w:pP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</w:rPr>
        <w:t>Alerts (value out of defined safe range):</w:t>
      </w:r>
      <w:r>
        <w:t xml:space="preserve"> SNMP trap, E-mail</w:t>
      </w:r>
      <w:r w:rsidR="007937A8">
        <w:t>, SMS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</w:pPr>
      <w:r>
        <w:rPr>
          <w:b/>
        </w:rPr>
        <w:t>Cloud support</w:t>
      </w:r>
      <w:r>
        <w:t>: HWg-Push protocol</w:t>
      </w:r>
    </w:p>
    <w:p w:rsidR="00085AB1" w:rsidRPr="00CA6086" w:rsidRDefault="00085AB1" w:rsidP="00085AB1">
      <w:pPr>
        <w:pStyle w:val="Vet"/>
        <w:numPr>
          <w:ilvl w:val="0"/>
          <w:numId w:val="27"/>
        </w:numPr>
        <w:spacing w:before="0" w:line="200" w:lineRule="atLeast"/>
      </w:pPr>
      <w:r>
        <w:rPr>
          <w:b/>
        </w:rPr>
        <w:t>GSM modem</w:t>
      </w:r>
      <w:r>
        <w:t>: A GSM modem for sending text messages (SMS) can be connected to RS-232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  <w:szCs w:val="20"/>
        </w:rPr>
        <w:t>Text messages (SMS)</w:t>
      </w:r>
      <w:r>
        <w:t>:</w:t>
      </w:r>
      <w:r>
        <w:rPr>
          <w:szCs w:val="20"/>
        </w:rPr>
        <w:t xml:space="preserve"> Alerts can be sent as text messages (SMS) via a local GSM modem or a remote „HWg-SMS-GW“ over the network. Up to 5 recipients, no software is needed.</w:t>
      </w:r>
    </w:p>
    <w:p w:rsidR="00636CE5" w:rsidRDefault="00636CE5" w:rsidP="00636CE5">
      <w:pPr>
        <w:pStyle w:val="Vet"/>
        <w:numPr>
          <w:ilvl w:val="0"/>
          <w:numId w:val="27"/>
        </w:numPr>
        <w:tabs>
          <w:tab w:val="left" w:pos="720"/>
        </w:tabs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>: SNMP, XML, Modbus/TCP, HWg-Push</w:t>
      </w:r>
    </w:p>
    <w:p w:rsidR="00636CE5" w:rsidRDefault="00636CE5" w:rsidP="00636CE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  <w:szCs w:val="20"/>
        </w:rPr>
        <w:t>Support for programmers</w:t>
      </w:r>
      <w:r>
        <w:rPr>
          <w:szCs w:val="20"/>
        </w:rPr>
        <w:t>: HWg-SDK</w:t>
      </w:r>
      <w:r>
        <w:br/>
      </w:r>
    </w:p>
    <w:p w:rsidR="00636CE5" w:rsidRDefault="00636CE5" w:rsidP="00636CE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</w:rPr>
        <w:t xml:space="preserve">Online portal: </w:t>
      </w:r>
      <w:r>
        <w:t>SensDesk.com</w:t>
      </w:r>
      <w:r>
        <w:rPr>
          <w:b/>
        </w:rPr>
        <w:t xml:space="preserve"> </w:t>
      </w:r>
      <w:r>
        <w:t>(remote monitoring of several devices / sensors over the web free of charge).</w:t>
      </w:r>
      <w:r>
        <w:br/>
      </w:r>
    </w:p>
    <w:p w:rsidR="00636CE5" w:rsidRDefault="00636CE5" w:rsidP="00636CE5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  <w:szCs w:val="20"/>
        </w:rPr>
        <w:t>Supported software</w:t>
      </w:r>
      <w:r>
        <w:rPr>
          <w:szCs w:val="20"/>
        </w:rPr>
        <w:t xml:space="preserve"> </w:t>
      </w:r>
    </w:p>
    <w:p w:rsidR="00636CE5" w:rsidRDefault="00636CE5" w:rsidP="00636CE5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  <w:szCs w:val="20"/>
        </w:rPr>
        <w:t>HWg-Trigger</w:t>
      </w:r>
      <w:r>
        <w:rPr>
          <w:szCs w:val="20"/>
        </w:rPr>
        <w:t>: Alert redirection to SMS, pop-up messages, PC shutdown...</w:t>
      </w:r>
    </w:p>
    <w:p w:rsidR="00636CE5" w:rsidRDefault="00636CE5" w:rsidP="00636CE5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</w:rPr>
        <w:t>HWg-PDMS</w:t>
      </w:r>
      <w:r>
        <w:t>: Logging of values, graphs, export to MS Excel</w:t>
      </w:r>
    </w:p>
    <w:p w:rsidR="00636CE5" w:rsidRDefault="00636CE5" w:rsidP="00636CE5">
      <w:pPr>
        <w:pStyle w:val="Odstavecseseznamem"/>
        <w:numPr>
          <w:ilvl w:val="1"/>
          <w:numId w:val="27"/>
        </w:numPr>
        <w:autoSpaceDE w:val="0"/>
        <w:autoSpaceDN w:val="0"/>
        <w:adjustRightInd w:val="0"/>
        <w:spacing w:before="60" w:after="60"/>
        <w:rPr>
          <w:rFonts w:cs="Arial"/>
          <w:szCs w:val="20"/>
        </w:rPr>
      </w:pPr>
      <w:r>
        <w:rPr>
          <w:b/>
          <w:szCs w:val="20"/>
        </w:rPr>
        <w:t>Third-party SNMP software</w:t>
      </w:r>
    </w:p>
    <w:p w:rsidR="00636CE5" w:rsidRPr="00CA6086" w:rsidRDefault="00636CE5" w:rsidP="00242451">
      <w:pPr>
        <w:rPr>
          <w:lang w:val="cs-CZ"/>
        </w:rPr>
      </w:pPr>
    </w:p>
    <w:p w:rsidR="00242451" w:rsidRPr="00CA6086" w:rsidRDefault="00242451" w:rsidP="00242451">
      <w:pPr>
        <w:pStyle w:val="Odstavecseseznamem"/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1246E9" w:rsidRDefault="0076048C" w:rsidP="001246E9">
      <w:r>
        <w:rPr>
          <w:noProof/>
          <w:lang w:eastAsia="en-US"/>
        </w:rPr>
        <w:lastRenderedPageBreak/>
        <mc:AlternateContent>
          <mc:Choice Requires="wps">
            <w:drawing>
              <wp:inline distT="0" distB="0" distL="0" distR="0" wp14:anchorId="376FCA97" wp14:editId="56BBD6ED">
                <wp:extent cx="5964555" cy="1947545"/>
                <wp:effectExtent l="76200" t="76200" r="17145" b="14605"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246E9" w:rsidRPr="00E53F6C" w:rsidRDefault="001246E9" w:rsidP="001246E9">
                            <w:pPr>
                              <w:rPr>
                                <w:b/>
                              </w:rPr>
                            </w:pPr>
                            <w:r w:rsidRPr="00E53F6C">
                              <w:rPr>
                                <w:b/>
                              </w:rPr>
                              <w:t>Keywords</w:t>
                            </w:r>
                            <w:r>
                              <w:rPr>
                                <w:b/>
                              </w:rPr>
                              <w:t xml:space="preserve"> EN v2</w:t>
                            </w:r>
                            <w:r w:rsidRPr="00E53F6C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:rsidR="001246E9" w:rsidRDefault="001246E9" w:rsidP="001246E9">
                            <w:r>
                              <w:t xml:space="preserve">Poseidon2 4002, </w:t>
                            </w:r>
                            <w:r w:rsidRPr="00621B80">
                              <w:t>data center</w:t>
                            </w:r>
                            <w:r>
                              <w:t xml:space="preserve"> </w:t>
                            </w:r>
                            <w:r w:rsidRPr="00621B80">
                              <w:t>environmental monitoring</w:t>
                            </w:r>
                            <w:r>
                              <w:t xml:space="preserve">, </w:t>
                            </w:r>
                            <w:r w:rsidRPr="00621B80">
                              <w:t xml:space="preserve">server room </w:t>
                            </w:r>
                            <w:r>
                              <w:t xml:space="preserve">alarm </w:t>
                            </w:r>
                            <w:r w:rsidRPr="00621B80">
                              <w:t>monitoring</w:t>
                            </w:r>
                            <w:r>
                              <w:t xml:space="preserve">, rack </w:t>
                            </w:r>
                            <w:r w:rsidRPr="00621B80">
                              <w:t>environmental conditions</w:t>
                            </w:r>
                            <w:r>
                              <w:t xml:space="preserve">, </w:t>
                            </w:r>
                            <w:r w:rsidRPr="00621B80">
                              <w:t>temperature and humidity</w:t>
                            </w:r>
                            <w:r>
                              <w:t xml:space="preserve">, </w:t>
                            </w:r>
                            <w:r w:rsidRPr="00621B80">
                              <w:t>computer room temperature</w:t>
                            </w:r>
                            <w:r>
                              <w:t xml:space="preserve">, room alert, </w:t>
                            </w:r>
                            <w:r w:rsidRPr="00E74600">
                              <w:t>environment monitoring system</w:t>
                            </w:r>
                          </w:p>
                          <w:p w:rsidR="001246E9" w:rsidRDefault="001246E9" w:rsidP="001246E9"/>
                          <w:p w:rsidR="001246E9" w:rsidRDefault="001246E9" w:rsidP="001246E9">
                            <w:r w:rsidRPr="00E74600">
                              <w:t>email alert</w:t>
                            </w:r>
                            <w:r>
                              <w:t xml:space="preserve">, </w:t>
                            </w:r>
                            <w:r w:rsidRPr="003E50DF">
                              <w:t>smoke detector</w:t>
                            </w:r>
                            <w:r>
                              <w:t xml:space="preserve">, temperature logger, current sensor, voltage sensor, </w:t>
                            </w:r>
                            <w:r w:rsidRPr="003E50DF">
                              <w:t>temperature sensor</w:t>
                            </w:r>
                            <w:r>
                              <w:t xml:space="preserve">, </w:t>
                            </w:r>
                            <w:r w:rsidRPr="003E50DF">
                              <w:t>water leak detector</w:t>
                            </w:r>
                            <w:r>
                              <w:t xml:space="preserve">, </w:t>
                            </w:r>
                            <w:r w:rsidRPr="003E50DF">
                              <w:t>temperature measurement</w:t>
                            </w:r>
                            <w:r>
                              <w:t xml:space="preserve">, door contact, </w:t>
                            </w:r>
                            <w:r w:rsidRPr="00926CA2">
                              <w:t>server monitoring, environmental monitoring, snmp, network cabinet, remote monitoring</w:t>
                            </w:r>
                            <w:r>
                              <w:t xml:space="preserve">, cabinet doors monitoring, 1u server room monitoring, </w:t>
                            </w:r>
                          </w:p>
                          <w:p w:rsidR="001246E9" w:rsidRPr="00634F17" w:rsidRDefault="001246E9" w:rsidP="001246E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2" o:spid="_x0000_s1026" style="width:469.65pt;height:1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">
                <v:shadow on="t" opacity=".5" offset="-6pt,-6pt"/>
                <v:textbox>
                  <w:txbxContent>
                    <w:p w:rsidR="001246E9" w:rsidRPr="00E53F6C" w:rsidRDefault="001246E9" w:rsidP="001246E9">
                      <w:pPr>
                        <w:rPr>
                          <w:b/>
                        </w:rPr>
                      </w:pPr>
                      <w:r w:rsidRPr="00E53F6C">
                        <w:rPr>
                          <w:b/>
                        </w:rPr>
                        <w:t>Keywords</w:t>
                      </w:r>
                      <w:r>
                        <w:rPr>
                          <w:b/>
                        </w:rPr>
                        <w:t xml:space="preserve"> EN v2</w:t>
                      </w:r>
                      <w:r w:rsidRPr="00E53F6C">
                        <w:rPr>
                          <w:b/>
                        </w:rPr>
                        <w:t xml:space="preserve">: </w:t>
                      </w:r>
                    </w:p>
                    <w:p w:rsidR="001246E9" w:rsidRDefault="001246E9" w:rsidP="001246E9">
                      <w:r>
                        <w:t xml:space="preserve">Poseidon2 4002, </w:t>
                      </w:r>
                      <w:r w:rsidRPr="00621B80">
                        <w:t>data center</w:t>
                      </w:r>
                      <w:r>
                        <w:t xml:space="preserve"> </w:t>
                      </w:r>
                      <w:r w:rsidRPr="00621B80">
                        <w:t>environmental monitoring</w:t>
                      </w:r>
                      <w:r>
                        <w:t xml:space="preserve">, </w:t>
                      </w:r>
                      <w:r w:rsidRPr="00621B80">
                        <w:t xml:space="preserve">server room </w:t>
                      </w:r>
                      <w:r>
                        <w:t xml:space="preserve">alarm </w:t>
                      </w:r>
                      <w:r w:rsidRPr="00621B80">
                        <w:t>monitoring</w:t>
                      </w:r>
                      <w:r>
                        <w:t xml:space="preserve">, rack </w:t>
                      </w:r>
                      <w:r w:rsidRPr="00621B80">
                        <w:t>environmental conditions</w:t>
                      </w:r>
                      <w:r>
                        <w:t xml:space="preserve">, </w:t>
                      </w:r>
                      <w:r w:rsidRPr="00621B80">
                        <w:t>temperature and humidity</w:t>
                      </w:r>
                      <w:r>
                        <w:t xml:space="preserve">, </w:t>
                      </w:r>
                      <w:r w:rsidRPr="00621B80">
                        <w:t>computer room temperature</w:t>
                      </w:r>
                      <w:r>
                        <w:t xml:space="preserve">, room alert, </w:t>
                      </w:r>
                      <w:r w:rsidRPr="00E74600">
                        <w:t>environment monitoring system</w:t>
                      </w:r>
                    </w:p>
                    <w:p w:rsidR="001246E9" w:rsidRDefault="001246E9" w:rsidP="001246E9"/>
                    <w:p w:rsidR="001246E9" w:rsidRDefault="001246E9" w:rsidP="001246E9">
                      <w:r w:rsidRPr="00E74600">
                        <w:t>email alert</w:t>
                      </w:r>
                      <w:r>
                        <w:t xml:space="preserve">, </w:t>
                      </w:r>
                      <w:r w:rsidRPr="003E50DF">
                        <w:t>smoke detector</w:t>
                      </w:r>
                      <w:r>
                        <w:t xml:space="preserve">, temperature logger, current sensor, voltage sensor, </w:t>
                      </w:r>
                      <w:r w:rsidRPr="003E50DF">
                        <w:t>temperature sensor</w:t>
                      </w:r>
                      <w:r>
                        <w:t xml:space="preserve">, </w:t>
                      </w:r>
                      <w:r w:rsidRPr="003E50DF">
                        <w:t>water leak detector</w:t>
                      </w:r>
                      <w:r>
                        <w:t xml:space="preserve">, </w:t>
                      </w:r>
                      <w:r w:rsidRPr="003E50DF">
                        <w:t>temperature measurement</w:t>
                      </w:r>
                      <w:r>
                        <w:t xml:space="preserve">, door contact, </w:t>
                      </w:r>
                      <w:r w:rsidRPr="00926CA2">
                        <w:t>server monitoring, environmental monitoring, snmp, network cabinet, remote monitoring</w:t>
                      </w:r>
                      <w:r>
                        <w:t xml:space="preserve">, cabinet doors monitoring, 1u server room monitoring, </w:t>
                      </w:r>
                    </w:p>
                    <w:p w:rsidR="001246E9" w:rsidRPr="00634F17" w:rsidRDefault="001246E9" w:rsidP="001246E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246E9" w:rsidRDefault="001246E9" w:rsidP="001246E9"/>
    <w:sectPr w:rsidR="001246E9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  <w:num w:numId="26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51"/>
    <w:rsid w:val="00085AB1"/>
    <w:rsid w:val="000A31D5"/>
    <w:rsid w:val="000B6B79"/>
    <w:rsid w:val="000D4E4A"/>
    <w:rsid w:val="000E0406"/>
    <w:rsid w:val="000E6E33"/>
    <w:rsid w:val="000F4980"/>
    <w:rsid w:val="000F4A62"/>
    <w:rsid w:val="001100AC"/>
    <w:rsid w:val="001246E9"/>
    <w:rsid w:val="0013536F"/>
    <w:rsid w:val="00242451"/>
    <w:rsid w:val="002D3750"/>
    <w:rsid w:val="00363A61"/>
    <w:rsid w:val="003E50DF"/>
    <w:rsid w:val="004277A5"/>
    <w:rsid w:val="004562F8"/>
    <w:rsid w:val="00461609"/>
    <w:rsid w:val="004774EF"/>
    <w:rsid w:val="00481535"/>
    <w:rsid w:val="00482D87"/>
    <w:rsid w:val="0049059B"/>
    <w:rsid w:val="004A23CD"/>
    <w:rsid w:val="004C3FA4"/>
    <w:rsid w:val="004E5D68"/>
    <w:rsid w:val="00543638"/>
    <w:rsid w:val="00621B80"/>
    <w:rsid w:val="00634F17"/>
    <w:rsid w:val="00636CE5"/>
    <w:rsid w:val="0069074E"/>
    <w:rsid w:val="006C3DA2"/>
    <w:rsid w:val="006D5931"/>
    <w:rsid w:val="00712383"/>
    <w:rsid w:val="0074760E"/>
    <w:rsid w:val="0076048C"/>
    <w:rsid w:val="007937A8"/>
    <w:rsid w:val="007D6CB2"/>
    <w:rsid w:val="007F7447"/>
    <w:rsid w:val="0088679F"/>
    <w:rsid w:val="008910A8"/>
    <w:rsid w:val="00926CA2"/>
    <w:rsid w:val="0096354A"/>
    <w:rsid w:val="00964165"/>
    <w:rsid w:val="00A053D9"/>
    <w:rsid w:val="00A96CD4"/>
    <w:rsid w:val="00AA1B36"/>
    <w:rsid w:val="00B057AB"/>
    <w:rsid w:val="00B33BEB"/>
    <w:rsid w:val="00B405B6"/>
    <w:rsid w:val="00B66080"/>
    <w:rsid w:val="00BA5007"/>
    <w:rsid w:val="00BD030C"/>
    <w:rsid w:val="00BD522F"/>
    <w:rsid w:val="00C2014F"/>
    <w:rsid w:val="00C50641"/>
    <w:rsid w:val="00C71845"/>
    <w:rsid w:val="00CB64AB"/>
    <w:rsid w:val="00CC177A"/>
    <w:rsid w:val="00D17055"/>
    <w:rsid w:val="00D60378"/>
    <w:rsid w:val="00D66AC8"/>
    <w:rsid w:val="00E13A3C"/>
    <w:rsid w:val="00E24BBB"/>
    <w:rsid w:val="00E62F54"/>
    <w:rsid w:val="00E74600"/>
    <w:rsid w:val="00ED0098"/>
    <w:rsid w:val="00EE6BEA"/>
    <w:rsid w:val="00F439E6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5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2451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A3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36C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2451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cs-CZ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cs-CZ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cs-CZ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42451"/>
    <w:rPr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A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A3C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uiPriority w:val="99"/>
    <w:unhideWhenUsed/>
    <w:rsid w:val="00636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21AF4-022E-4229-A36A-54FCDBFE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3</cp:revision>
  <cp:lastPrinted>2007-09-08T20:42:00Z</cp:lastPrinted>
  <dcterms:created xsi:type="dcterms:W3CDTF">2014-01-30T09:30:00Z</dcterms:created>
  <dcterms:modified xsi:type="dcterms:W3CDTF">2014-01-30T09:31:00Z</dcterms:modified>
</cp:coreProperties>
</file>